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3F" w:rsidRDefault="00F9103F" w:rsidP="00F9103F">
      <w:pPr>
        <w:spacing w:after="200" w:line="276" w:lineRule="auto"/>
        <w:rPr>
          <w:rFonts w:eastAsia="Calibri"/>
          <w:b/>
          <w:szCs w:val="22"/>
          <w:lang w:eastAsia="en-US"/>
        </w:rPr>
      </w:pPr>
    </w:p>
    <w:p w:rsidR="00F9103F" w:rsidRPr="00F9103F" w:rsidRDefault="00F9103F" w:rsidP="00F9103F">
      <w:pPr>
        <w:spacing w:after="200" w:line="276" w:lineRule="auto"/>
        <w:jc w:val="center"/>
        <w:rPr>
          <w:rFonts w:eastAsia="Calibri"/>
          <w:b/>
          <w:sz w:val="36"/>
          <w:szCs w:val="36"/>
          <w:lang w:eastAsia="en-US"/>
        </w:rPr>
      </w:pPr>
      <w:r>
        <w:rPr>
          <w:rFonts w:eastAsia="Calibri"/>
          <w:b/>
          <w:sz w:val="36"/>
          <w:szCs w:val="36"/>
          <w:lang w:eastAsia="en-US"/>
        </w:rPr>
        <w:t>VEDTEKTER FOR</w:t>
      </w:r>
      <w:r>
        <w:rPr>
          <w:rFonts w:eastAsia="Calibri"/>
          <w:b/>
          <w:sz w:val="36"/>
          <w:szCs w:val="36"/>
          <w:lang w:eastAsia="en-US"/>
        </w:rPr>
        <w:br/>
        <w:t>STEINKJER KOMMUNESKOGER</w:t>
      </w:r>
      <w:r>
        <w:rPr>
          <w:rFonts w:eastAsia="Calibri"/>
          <w:b/>
          <w:sz w:val="36"/>
          <w:szCs w:val="36"/>
          <w:lang w:eastAsia="en-US"/>
        </w:rPr>
        <w:br/>
      </w:r>
      <w:r w:rsidRPr="00F9103F">
        <w:rPr>
          <w:rFonts w:eastAsia="Calibri"/>
          <w:b/>
          <w:sz w:val="36"/>
          <w:szCs w:val="36"/>
          <w:lang w:eastAsia="en-US"/>
        </w:rPr>
        <w:t>OGNDALSBRUKET KF</w:t>
      </w:r>
    </w:p>
    <w:p w:rsidR="00C2300D" w:rsidRDefault="00C2300D"/>
    <w:p w:rsidR="00200FF5" w:rsidRPr="00CB12D0" w:rsidRDefault="00200FF5" w:rsidP="00200FF5">
      <w:pPr>
        <w:rPr>
          <w:b/>
        </w:rPr>
      </w:pPr>
      <w:r w:rsidRPr="00CB12D0">
        <w:rPr>
          <w:b/>
        </w:rPr>
        <w:t xml:space="preserve">Behandling i </w:t>
      </w:r>
      <w:bookmarkStart w:id="0" w:name="UTVALGSNAVN"/>
      <w:r>
        <w:rPr>
          <w:b/>
        </w:rPr>
        <w:t>Foretaksmøte Steinkjer kommuneskoger - Ogndalsbruket KF</w:t>
      </w:r>
      <w:bookmarkEnd w:id="0"/>
      <w:r w:rsidRPr="00CB12D0">
        <w:rPr>
          <w:b/>
        </w:rPr>
        <w:t xml:space="preserve"> - </w:t>
      </w:r>
      <w:bookmarkStart w:id="1" w:name="MØTEDATO"/>
      <w:r>
        <w:rPr>
          <w:b/>
        </w:rPr>
        <w:t>11.11.2015</w:t>
      </w:r>
      <w:bookmarkEnd w:id="1"/>
      <w:r>
        <w:rPr>
          <w:b/>
        </w:rPr>
        <w:t>:</w:t>
      </w:r>
    </w:p>
    <w:p w:rsidR="00200FF5" w:rsidRDefault="00200FF5" w:rsidP="00200FF5">
      <w:r>
        <w:t>Valgnemndas innstilling ble enstemmig vedtatt.</w:t>
      </w:r>
    </w:p>
    <w:p w:rsidR="00200FF5" w:rsidRPr="00CB12D0" w:rsidRDefault="00200FF5" w:rsidP="00200FF5"/>
    <w:p w:rsidR="00200FF5" w:rsidRPr="00CB12D0" w:rsidRDefault="00200FF5" w:rsidP="00200FF5">
      <w:pPr>
        <w:rPr>
          <w:b/>
        </w:rPr>
      </w:pPr>
      <w:r>
        <w:rPr>
          <w:b/>
        </w:rPr>
        <w:t>Vedtak/</w:t>
      </w:r>
      <w:r w:rsidRPr="00CB12D0">
        <w:rPr>
          <w:b/>
        </w:rPr>
        <w:t xml:space="preserve">Innstilling </w:t>
      </w:r>
      <w:r>
        <w:rPr>
          <w:b/>
        </w:rPr>
        <w:t>i</w:t>
      </w:r>
      <w:r w:rsidRPr="00CB12D0">
        <w:rPr>
          <w:b/>
        </w:rPr>
        <w:t xml:space="preserve"> </w:t>
      </w:r>
      <w:bookmarkStart w:id="2" w:name="UTVALGSNAVN2"/>
      <w:r>
        <w:rPr>
          <w:b/>
        </w:rPr>
        <w:t>Foretaksmøte Steinkjer kommuneskoger - Ogndalsbruket KF</w:t>
      </w:r>
      <w:bookmarkEnd w:id="2"/>
      <w:r w:rsidRPr="00CB12D0">
        <w:rPr>
          <w:b/>
        </w:rPr>
        <w:t xml:space="preserve"> - </w:t>
      </w:r>
      <w:bookmarkStart w:id="3" w:name="MØTEDATO2"/>
      <w:r>
        <w:rPr>
          <w:b/>
        </w:rPr>
        <w:t>11.11.2015</w:t>
      </w:r>
      <w:bookmarkEnd w:id="3"/>
      <w:r w:rsidRPr="00CB12D0">
        <w:rPr>
          <w:b/>
        </w:rPr>
        <w:t>:</w:t>
      </w:r>
    </w:p>
    <w:p w:rsidR="00200FF5" w:rsidRDefault="00200FF5" w:rsidP="00200FF5"/>
    <w:p w:rsidR="00C2300D" w:rsidRDefault="00976624">
      <w:pPr>
        <w:pStyle w:val="Topptekst"/>
        <w:tabs>
          <w:tab w:val="clear" w:pos="4536"/>
          <w:tab w:val="clear" w:pos="9072"/>
        </w:tabs>
      </w:pPr>
      <w:bookmarkStart w:id="4" w:name="SaksUtredningSlutt"/>
      <w:bookmarkEnd w:id="4"/>
      <w:r>
        <w:t>Nytt reglement blir etter dette:</w:t>
      </w:r>
    </w:p>
    <w:p w:rsidR="00976624" w:rsidRDefault="00976624">
      <w:pPr>
        <w:pStyle w:val="Topptekst"/>
        <w:tabs>
          <w:tab w:val="clear" w:pos="4536"/>
          <w:tab w:val="clear" w:pos="9072"/>
        </w:tabs>
      </w:pP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§1 Navn</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Foretakets navn er Steinkjer kommuneskoger – Ogndalsbruket KF.</w:t>
      </w:r>
    </w:p>
    <w:p w:rsidR="00976624" w:rsidRPr="00976624" w:rsidRDefault="00976624" w:rsidP="00976624">
      <w:pPr>
        <w:spacing w:after="200" w:line="276" w:lineRule="auto"/>
        <w:rPr>
          <w:rFonts w:eastAsia="Calibri"/>
          <w:szCs w:val="22"/>
          <w:lang w:eastAsia="en-US"/>
        </w:rPr>
      </w:pPr>
      <w:r w:rsidRPr="00976624">
        <w:rPr>
          <w:rFonts w:eastAsia="Calibri"/>
          <w:b/>
          <w:szCs w:val="22"/>
          <w:lang w:eastAsia="en-US"/>
        </w:rPr>
        <w:t>§2 Rettslig status</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Det kommunale foretaket er opprettet med hjemmel i kommunelovens kapittel 11 ( §§61-75).</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 xml:space="preserve">Foretaket er en del av Steinkjer kommune og således eid av samme. Eieren hefter med hele sin formue for foretakets samlede forpliktelser. </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Foretaket skal registreres i Foretaksregistret.</w:t>
      </w:r>
    </w:p>
    <w:p w:rsidR="00976624" w:rsidRPr="00976624" w:rsidRDefault="00976624" w:rsidP="00976624">
      <w:pPr>
        <w:spacing w:after="200" w:line="276" w:lineRule="auto"/>
        <w:rPr>
          <w:rFonts w:eastAsia="Calibri"/>
          <w:szCs w:val="22"/>
          <w:lang w:eastAsia="en-US"/>
        </w:rPr>
      </w:pP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§3 Kontorkommune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Steinkjer kommune er foretakets kontorkommune.</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§4 Formål og ansvarsområde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Steinkjer kommuneskoger-Ogndalsbruket KF skal ved å eie og forvalte skog- og utmarksresurser drive verdiskaping og bygge opp ressurser og kompetanse, bidra til utvikling av næring og arbeidsplasser, selge tjenester og kompetanse innen skogbruk og utmarksforvaltning, øke den økonomiske handlefriheten til kommunen, bidra til utvikling av organisasjoner og samfunn og legge til rette for allmennhetens bruk av utmarka.</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Innenfor rammene vedtektene fastsetter, skal eiendommen gi en best mulig økonomisk avkastning til bruk i samfunnsbyggingen. Det skal på eiendommene bygges opp ressurser for framtiden. Driften av eiendommene skal legges opp etter langsiktige og bærekraftige prinsipper.</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§5 Styret, valg og sammensetning</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Foretaksmøtet/kommunestyret velger 5 medlemmer til styret. Minst 2 av medlemmene velges blant kommunestyrets representanter. I tillegg velges ett styremedlem blant de ansatte. Kommunestyret velger leder og nestleder.</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Daglig leder kan ikke være medlem av styret. Valgperioden er 4 år og følger kommunestyrevalgene.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lastRenderedPageBreak/>
        <w:t>Spørsmål om fritak, uttreden eller nyvalg av styremedlemmer behandles av kommunestyret/foretaksmøtet. Ved endelig uttreden eller varig forfall, iverksettes suppleringsvalg for gjenværende del av funksjonstiden.</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Kommunestyret/foretaksmøtet kan selv når som helst foreta nyvalg av medlemmer til styret.</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§6 Styrets myndighet og oppgaver</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 xml:space="preserve">Styret har myndighet til å treffe avgjørelser i alle saker som gjelder foretaket og dets virksomhet innen rammen av foretakets formål, </w:t>
      </w:r>
      <w:proofErr w:type="spellStart"/>
      <w:r w:rsidRPr="00976624">
        <w:rPr>
          <w:rFonts w:eastAsia="Calibri"/>
          <w:szCs w:val="22"/>
          <w:lang w:eastAsia="en-US"/>
        </w:rPr>
        <w:t>jfr</w:t>
      </w:r>
      <w:proofErr w:type="spellEnd"/>
      <w:proofErr w:type="gramStart"/>
      <w:r w:rsidRPr="00976624">
        <w:rPr>
          <w:rFonts w:eastAsia="Calibri"/>
          <w:szCs w:val="22"/>
          <w:lang w:eastAsia="en-US"/>
        </w:rPr>
        <w:t xml:space="preserve"> §4</w:t>
      </w:r>
      <w:proofErr w:type="gramEnd"/>
      <w:r w:rsidRPr="00976624">
        <w:rPr>
          <w:rFonts w:eastAsia="Calibri"/>
          <w:szCs w:val="22"/>
          <w:lang w:eastAsia="en-US"/>
        </w:rPr>
        <w:t>.</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Styrets oppgaver er å realisere hovedmålene som eierne til enhver tid anviser. Styret skal sette opp delmål, legge strategier og utøve styring gjennom det enkelte driftsår.</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Styret skal føre løpende tilsyn med virksomheten og har ansvaret for at foretakets oppgaver utføres i henhold til lov, forskrifter og øvrig pålegg.</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Styret tilsetter daglig leder og skal godkjenne om denne i tillegg kan inneha andre deltidsstillinger eller om dennes kompetanse kan selges til andre.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For øvrig plikter styret å føre tilsyn med daglig leders utøvelse av sitt lederskap.</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§7 Styrets forhandlinger</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 xml:space="preserve">Styret gjør sine vedtak i møter. Styremøtene sammenkalles og ledes av styrets leder. </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Unntaksvis kan styrets leder forelegge en aktuell sak skriftlig for styrets medlemmer eller på annen måte styret som kollegium finner betryggende.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Ved votering i styret skal hver stemme telle likt. Ved stemmelikhet teller møteleders stemme dobbelt. Styret er beslutningsdyktig når minst halvparten av medlemmene er til stede. Styret fatter avgjørelse med simpelt flertall av de avgitte stemmene.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Vedtak i nærmere angitte saker (</w:t>
      </w:r>
      <w:proofErr w:type="spellStart"/>
      <w:r w:rsidRPr="00976624">
        <w:rPr>
          <w:rFonts w:eastAsia="Calibri"/>
          <w:szCs w:val="22"/>
          <w:lang w:eastAsia="en-US"/>
        </w:rPr>
        <w:t>jfr</w:t>
      </w:r>
      <w:proofErr w:type="spellEnd"/>
      <w:proofErr w:type="gramStart"/>
      <w:r w:rsidRPr="00976624">
        <w:rPr>
          <w:rFonts w:eastAsia="Calibri"/>
          <w:szCs w:val="22"/>
          <w:lang w:eastAsia="en-US"/>
        </w:rPr>
        <w:t xml:space="preserve"> §12</w:t>
      </w:r>
      <w:proofErr w:type="gramEnd"/>
      <w:r w:rsidRPr="00976624">
        <w:rPr>
          <w:rFonts w:eastAsia="Calibri"/>
          <w:szCs w:val="22"/>
          <w:lang w:eastAsia="en-US"/>
        </w:rPr>
        <w:t>) må være godkjent av kommunestyret selv for å være bindende for Steinkjer kommune. I slike saker skal rådmannen være gitt anledning til å uttale seg om saken før styret fatter vedtak. Eventuell uttalelse fra rådmannen skal legges fram for styret ved dets behandling av saken.</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Møteinnkalling med sakliste og saksframlegg sendes ordfører, rådmannen og kommunerevisjonen. Ordfører og rådmann har møte- og talerett i styremøtene. Møtene avholdes for åpne dører.</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Kommunelovens bestemmelser om habilitet skal følges ved behandling av saker i styret. Tilsvarende gjelder offentlighetslovens og forvaltningslovens bestemmelser.</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Styrets leder sørger for at det blir ført protokoll fra møtene. Utskrift av møteprotokollen sendes etter hvert møte styrets medlemmer samt ordfører, rådmann og kommunerevisjonen.</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§8 Daglig leders myndighet, oppgaver og ansvar</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 xml:space="preserve">Daglig leder forestår den daglige ledelse av foretaket, forestår løpende grunneierforvaltning, har personalansvar for øvrige ansatte og ansvaret for at enhver arbeidsoppgave utføres i overensstemmelse med gjeldende bestemmelser og i henhold til de vedtak som er fattet av styret. </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Daglig leder skal til enhver tid holde styret orientert om alle forhold av betydning for virksomheten og den løpende drift. Daglig leder rapporterer til styret på en slik måte og så ofte som situasjonen betinger og styret for øvrig måtte bestemme.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lastRenderedPageBreak/>
        <w:t>Rådmannen har ikke instruksjonsrett overfor daglig leder, men kan dog instruere styret og daglig leder til å utsette iverksettelsen av en sak til formannskapet eller kommunestyret har behandlet den.</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Daglig leder deltar i styrets møter med forslags- og talerett, men uten stemmerett. Daglig leder er sekretær for styret, forretningsfører og innehar prokura for kapitaldisponeringer.</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§9 Representasjon</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Styret representerer foretaket utad og inngår avtaler på kommunens vegne innenfor foretakets formål</w:t>
      </w:r>
      <w:proofErr w:type="gramStart"/>
      <w:r w:rsidRPr="00976624">
        <w:rPr>
          <w:rFonts w:eastAsia="Calibri"/>
          <w:szCs w:val="22"/>
          <w:lang w:eastAsia="en-US"/>
        </w:rPr>
        <w:t xml:space="preserve"> (</w:t>
      </w:r>
      <w:proofErr w:type="spellStart"/>
      <w:r w:rsidRPr="00976624">
        <w:rPr>
          <w:rFonts w:eastAsia="Calibri"/>
          <w:szCs w:val="22"/>
          <w:lang w:eastAsia="en-US"/>
        </w:rPr>
        <w:t>jfr</w:t>
      </w:r>
      <w:proofErr w:type="spellEnd"/>
      <w:r w:rsidRPr="00976624">
        <w:rPr>
          <w:rFonts w:eastAsia="Calibri"/>
          <w:szCs w:val="22"/>
          <w:lang w:eastAsia="en-US"/>
        </w:rPr>
        <w:t xml:space="preserve"> dog §12 vedr.</w:t>
      </w:r>
      <w:proofErr w:type="gramEnd"/>
      <w:r w:rsidRPr="00976624">
        <w:rPr>
          <w:rFonts w:eastAsia="Calibri"/>
          <w:szCs w:val="22"/>
          <w:lang w:eastAsia="en-US"/>
        </w:rPr>
        <w:t xml:space="preserve"> saker som må være godkjent av kommunestyret selv).</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 xml:space="preserve">Styret kan gi styremedlem og daglig leder representasjonsrett og rett til å inngå avtaler. </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Daglig leder representerer foretaket utad i saker som faller innenfor dennes myndighet og den daglige ledelse av foretaket.</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§10 Regnskap</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Styret har plikt til å etterse at foretaket fører og framlegger lovmessig regnskap.</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Basert på det framlagte regnskap skal styret i sin beretning fremme forslag om kapitalanvendelse. Det samlede regnskap og styrets beretning skal avlegges til tid som gjør det mulig å forelegge regnskapet sammen med revisors beretning til godkjennelse i kommunestyret innen fastsatt frist.</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§11 Tilsyn, kontroll og revisjon</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 xml:space="preserve">Kommunerevisjon og kontrollutvalg utøver sine funksjoner </w:t>
      </w:r>
      <w:proofErr w:type="spellStart"/>
      <w:r w:rsidRPr="00976624">
        <w:rPr>
          <w:rFonts w:eastAsia="Calibri"/>
          <w:szCs w:val="22"/>
          <w:lang w:eastAsia="en-US"/>
        </w:rPr>
        <w:t>iht</w:t>
      </w:r>
      <w:proofErr w:type="spellEnd"/>
      <w:r w:rsidRPr="00976624">
        <w:rPr>
          <w:rFonts w:eastAsia="Calibri"/>
          <w:szCs w:val="22"/>
          <w:lang w:eastAsia="en-US"/>
        </w:rPr>
        <w:t xml:space="preserve"> kommunelovens</w:t>
      </w:r>
      <w:proofErr w:type="gramStart"/>
      <w:r w:rsidRPr="00976624">
        <w:rPr>
          <w:rFonts w:eastAsia="Calibri"/>
          <w:szCs w:val="22"/>
          <w:lang w:eastAsia="en-US"/>
        </w:rPr>
        <w:t xml:space="preserve"> §60</w:t>
      </w:r>
      <w:proofErr w:type="gramEnd"/>
      <w:r w:rsidRPr="00976624">
        <w:rPr>
          <w:rFonts w:eastAsia="Calibri"/>
          <w:szCs w:val="22"/>
          <w:lang w:eastAsia="en-US"/>
        </w:rPr>
        <w:t xml:space="preserve"> med forskrifter. Styret har krav på å bli gjort kjent med de anførsler revisjonen har gitt i forbindelse med den løpende revisjon og regnskapsavleggelsen. Vesentlige antegnelser til regnskapsførsel eller administrasjonens disposisjoner skal snarest forelegges styret til uttalelse.</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§12 Kommunestyret</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Kommunestyret er styrets nærmeste overordnede og skal tidligst mulig orienteres om saker som må antas å ha prinsipiell betydning.</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Kommunestyret får seg hvert år forelagt foretakets drifts- og investeringsbudsjett. Kommunestyret godkjenner styrets budsjetterte avkastning.</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Kommunestyret mottar hvert år styrets beretning og godkjenner foretakets regnskapsresultat og balanse og fastsetter etter forslag fra styret foretakets kapitalanvendelse eventuelt dekning av underskudd.</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Etter innstilling fra styret fatter kommunestyret endelig vedtak om saker som antas å være av vesentlig betydning for foretakets formål, eller i vesentlig grad vil endre virksomhetens karakter, samt låneopptak og salg av grunn over 100 da.</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§13 Endring av vedtektene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Vedtektene kan endres ved at kommunestyret fatter et vedtak om dette.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Styret skal få anledning til å uttale seg om forslag til endring av vedtektene før disse fremmes for behandling i kommunestyret.</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§14 Oppløsning</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lastRenderedPageBreak/>
        <w:t>Kommunestyret kan selv oppløse foretaket.</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§15 Øvrige bestemmelser</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For øvrig gjelder den til enhver tid gjeldende kommunelovs bestemmelser om kommunale foretak samt forskrifter gitt i medhold av denne lov.</w:t>
      </w:r>
    </w:p>
    <w:p w:rsidR="00976624" w:rsidRPr="00976624" w:rsidRDefault="00976624" w:rsidP="00976624">
      <w:pPr>
        <w:spacing w:after="200" w:line="276" w:lineRule="auto"/>
        <w:rPr>
          <w:rFonts w:eastAsia="Calibri"/>
          <w:b/>
          <w:szCs w:val="22"/>
          <w:lang w:eastAsia="en-US"/>
        </w:rPr>
      </w:pPr>
      <w:r w:rsidRPr="00976624">
        <w:rPr>
          <w:rFonts w:eastAsia="Calibri"/>
          <w:b/>
          <w:szCs w:val="22"/>
          <w:lang w:eastAsia="en-US"/>
        </w:rPr>
        <w:t>§16 Ikrafttredelse</w:t>
      </w:r>
    </w:p>
    <w:p w:rsidR="00976624" w:rsidRPr="00976624" w:rsidRDefault="00976624" w:rsidP="00976624">
      <w:pPr>
        <w:spacing w:after="200" w:line="276" w:lineRule="auto"/>
        <w:rPr>
          <w:rFonts w:eastAsia="Calibri"/>
          <w:szCs w:val="22"/>
          <w:lang w:eastAsia="en-US"/>
        </w:rPr>
      </w:pPr>
      <w:r w:rsidRPr="00976624">
        <w:rPr>
          <w:rFonts w:eastAsia="Calibri"/>
          <w:szCs w:val="22"/>
          <w:lang w:eastAsia="en-US"/>
        </w:rPr>
        <w:t>Disse vedtektene gjelder fra det tidspunkt kommunestyret bestemmer.</w:t>
      </w:r>
      <w:bookmarkStart w:id="5" w:name="_GoBack"/>
      <w:bookmarkEnd w:id="5"/>
    </w:p>
    <w:sectPr w:rsidR="00976624" w:rsidRPr="00976624" w:rsidSect="00800820">
      <w:type w:val="continuous"/>
      <w:pgSz w:w="11906" w:h="16838" w:code="9"/>
      <w:pgMar w:top="709" w:right="1134" w:bottom="1134" w:left="851" w:header="567" w:footer="284" w:gutter="0"/>
      <w:paperSrc w:first="15" w:other="15"/>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B5" w:rsidRDefault="008305B5">
      <w:r>
        <w:separator/>
      </w:r>
    </w:p>
  </w:endnote>
  <w:endnote w:type="continuationSeparator" w:id="0">
    <w:p w:rsidR="008305B5" w:rsidRDefault="0083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B5" w:rsidRDefault="008305B5">
      <w:r>
        <w:separator/>
      </w:r>
    </w:p>
  </w:footnote>
  <w:footnote w:type="continuationSeparator" w:id="0">
    <w:p w:rsidR="008305B5" w:rsidRDefault="0083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B5"/>
    <w:rsid w:val="0000725C"/>
    <w:rsid w:val="000151A9"/>
    <w:rsid w:val="000317BE"/>
    <w:rsid w:val="00047C92"/>
    <w:rsid w:val="00047D58"/>
    <w:rsid w:val="000575B1"/>
    <w:rsid w:val="000A3E4F"/>
    <w:rsid w:val="000C545C"/>
    <w:rsid w:val="001219ED"/>
    <w:rsid w:val="001255CD"/>
    <w:rsid w:val="0014790A"/>
    <w:rsid w:val="001729DD"/>
    <w:rsid w:val="001A3D50"/>
    <w:rsid w:val="001B77CF"/>
    <w:rsid w:val="001D1315"/>
    <w:rsid w:val="001F3A86"/>
    <w:rsid w:val="001F3B24"/>
    <w:rsid w:val="00200FF5"/>
    <w:rsid w:val="00205111"/>
    <w:rsid w:val="00223FE5"/>
    <w:rsid w:val="0024081E"/>
    <w:rsid w:val="00251FEA"/>
    <w:rsid w:val="0026741B"/>
    <w:rsid w:val="002B7872"/>
    <w:rsid w:val="00350005"/>
    <w:rsid w:val="00350318"/>
    <w:rsid w:val="003644F3"/>
    <w:rsid w:val="003654E0"/>
    <w:rsid w:val="00372A2B"/>
    <w:rsid w:val="0039151B"/>
    <w:rsid w:val="003A685C"/>
    <w:rsid w:val="00437F73"/>
    <w:rsid w:val="00451387"/>
    <w:rsid w:val="004554CC"/>
    <w:rsid w:val="00465A9A"/>
    <w:rsid w:val="00476CCD"/>
    <w:rsid w:val="00494939"/>
    <w:rsid w:val="00497DD6"/>
    <w:rsid w:val="004A1F13"/>
    <w:rsid w:val="004B0087"/>
    <w:rsid w:val="004F04DF"/>
    <w:rsid w:val="00515FF9"/>
    <w:rsid w:val="00524ABE"/>
    <w:rsid w:val="00573596"/>
    <w:rsid w:val="00582AAB"/>
    <w:rsid w:val="00583FA1"/>
    <w:rsid w:val="005908DE"/>
    <w:rsid w:val="005D7ED3"/>
    <w:rsid w:val="006017DD"/>
    <w:rsid w:val="00632064"/>
    <w:rsid w:val="00634FD2"/>
    <w:rsid w:val="00642DB2"/>
    <w:rsid w:val="00650D47"/>
    <w:rsid w:val="00676C0B"/>
    <w:rsid w:val="006D2214"/>
    <w:rsid w:val="006E54DA"/>
    <w:rsid w:val="006E663E"/>
    <w:rsid w:val="00706348"/>
    <w:rsid w:val="007361DF"/>
    <w:rsid w:val="0076220A"/>
    <w:rsid w:val="00771AE8"/>
    <w:rsid w:val="00781D5F"/>
    <w:rsid w:val="00785B1B"/>
    <w:rsid w:val="007A3C38"/>
    <w:rsid w:val="00800820"/>
    <w:rsid w:val="00805BE7"/>
    <w:rsid w:val="008142A5"/>
    <w:rsid w:val="00814AE6"/>
    <w:rsid w:val="008305B5"/>
    <w:rsid w:val="008472DA"/>
    <w:rsid w:val="008C7DAA"/>
    <w:rsid w:val="009036FF"/>
    <w:rsid w:val="00904F08"/>
    <w:rsid w:val="009065FD"/>
    <w:rsid w:val="0092530D"/>
    <w:rsid w:val="0095541B"/>
    <w:rsid w:val="009727D5"/>
    <w:rsid w:val="00976624"/>
    <w:rsid w:val="00977C6A"/>
    <w:rsid w:val="009A671A"/>
    <w:rsid w:val="009F25FF"/>
    <w:rsid w:val="00A4272D"/>
    <w:rsid w:val="00A521E5"/>
    <w:rsid w:val="00A84BB4"/>
    <w:rsid w:val="00A84C95"/>
    <w:rsid w:val="00B15FED"/>
    <w:rsid w:val="00B51A09"/>
    <w:rsid w:val="00B55289"/>
    <w:rsid w:val="00B726D4"/>
    <w:rsid w:val="00B92ECA"/>
    <w:rsid w:val="00B93EF6"/>
    <w:rsid w:val="00B9402D"/>
    <w:rsid w:val="00BD6A57"/>
    <w:rsid w:val="00BF609E"/>
    <w:rsid w:val="00C20096"/>
    <w:rsid w:val="00C2300D"/>
    <w:rsid w:val="00C4093A"/>
    <w:rsid w:val="00C91867"/>
    <w:rsid w:val="00CD6D37"/>
    <w:rsid w:val="00CE1A78"/>
    <w:rsid w:val="00D50A0E"/>
    <w:rsid w:val="00D61FF1"/>
    <w:rsid w:val="00D933CA"/>
    <w:rsid w:val="00DB6E2B"/>
    <w:rsid w:val="00DC16FF"/>
    <w:rsid w:val="00DC4381"/>
    <w:rsid w:val="00DD047E"/>
    <w:rsid w:val="00DF3C11"/>
    <w:rsid w:val="00E36A77"/>
    <w:rsid w:val="00E55737"/>
    <w:rsid w:val="00E87EE2"/>
    <w:rsid w:val="00EA1F54"/>
    <w:rsid w:val="00EC225E"/>
    <w:rsid w:val="00EC4014"/>
    <w:rsid w:val="00ED5D1B"/>
    <w:rsid w:val="00EF4382"/>
    <w:rsid w:val="00F0597E"/>
    <w:rsid w:val="00F42F3B"/>
    <w:rsid w:val="00F65863"/>
    <w:rsid w:val="00F81C0E"/>
    <w:rsid w:val="00F9103F"/>
    <w:rsid w:val="00F91156"/>
    <w:rsid w:val="00F934FA"/>
    <w:rsid w:val="00F93ED6"/>
    <w:rsid w:val="00FD5749"/>
    <w:rsid w:val="00FE2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09E"/>
    <w:rPr>
      <w:rFonts w:asciiTheme="minorHAnsi" w:hAnsiTheme="minorHAnsi"/>
      <w:sz w:val="22"/>
    </w:rPr>
  </w:style>
  <w:style w:type="paragraph" w:styleId="Overskrift1">
    <w:name w:val="heading 1"/>
    <w:basedOn w:val="Normal"/>
    <w:next w:val="Normal"/>
    <w:qFormat/>
    <w:rsid w:val="000A3E4F"/>
    <w:pPr>
      <w:keepNext/>
      <w:outlineLvl w:val="0"/>
    </w:pPr>
    <w:rPr>
      <w:b/>
      <w:sz w:val="28"/>
    </w:rPr>
  </w:style>
  <w:style w:type="paragraph" w:styleId="Overskrift2">
    <w:name w:val="heading 2"/>
    <w:basedOn w:val="Normal"/>
    <w:next w:val="Normal"/>
    <w:autoRedefine/>
    <w:qFormat/>
    <w:rsid w:val="003654E0"/>
    <w:pPr>
      <w:keepNext/>
      <w:spacing w:before="120" w:after="60"/>
      <w:outlineLvl w:val="1"/>
    </w:pPr>
    <w:rPr>
      <w:b/>
      <w:szCs w:val="28"/>
    </w:rPr>
  </w:style>
  <w:style w:type="paragraph" w:styleId="Overskrift3">
    <w:name w:val="heading 3"/>
    <w:basedOn w:val="Normal"/>
    <w:next w:val="Normal"/>
    <w:autoRedefine/>
    <w:qFormat/>
    <w:rsid w:val="00B93EF6"/>
    <w:pPr>
      <w:keepNext/>
      <w:spacing w:before="60"/>
      <w:outlineLvl w:val="2"/>
    </w:pPr>
    <w:rPr>
      <w:rFonts w:ascii="Arial" w:hAnsi="Arial"/>
      <w:b/>
      <w:szCs w:val="24"/>
    </w:rPr>
  </w:style>
  <w:style w:type="paragraph" w:styleId="Overskrift4">
    <w:name w:val="heading 4"/>
    <w:basedOn w:val="Normal"/>
    <w:next w:val="Normal"/>
    <w:qFormat/>
    <w:rsid w:val="000A3E4F"/>
    <w:pPr>
      <w:keepNext/>
      <w:outlineLvl w:val="3"/>
    </w:pPr>
    <w:rPr>
      <w:b/>
      <w:bCs/>
      <w:spacing w:val="-20"/>
      <w:sz w:val="36"/>
    </w:rPr>
  </w:style>
  <w:style w:type="paragraph" w:styleId="Overskrift5">
    <w:name w:val="heading 5"/>
    <w:basedOn w:val="Normal"/>
    <w:next w:val="Normal"/>
    <w:qFormat/>
    <w:rsid w:val="000A3E4F"/>
    <w:pPr>
      <w:keepNext/>
      <w:jc w:val="center"/>
      <w:outlineLvl w:val="4"/>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A3E4F"/>
    <w:pPr>
      <w:tabs>
        <w:tab w:val="center" w:pos="4536"/>
        <w:tab w:val="right" w:pos="9072"/>
      </w:tabs>
    </w:pPr>
  </w:style>
  <w:style w:type="paragraph" w:styleId="Bunntekst">
    <w:name w:val="footer"/>
    <w:basedOn w:val="Normal"/>
    <w:rsid w:val="000A3E4F"/>
    <w:pPr>
      <w:tabs>
        <w:tab w:val="center" w:pos="4536"/>
        <w:tab w:val="right" w:pos="9072"/>
      </w:tabs>
    </w:pPr>
  </w:style>
  <w:style w:type="character" w:styleId="Sidetall">
    <w:name w:val="page number"/>
    <w:basedOn w:val="Standardskriftforavsnitt"/>
    <w:rsid w:val="000A3E4F"/>
  </w:style>
  <w:style w:type="paragraph" w:customStyle="1" w:styleId="Referanse">
    <w:name w:val="Referanse"/>
    <w:basedOn w:val="Topptekst"/>
    <w:rsid w:val="000A3E4F"/>
    <w:pPr>
      <w:tabs>
        <w:tab w:val="left" w:pos="497"/>
      </w:tabs>
      <w:ind w:left="57"/>
    </w:pPr>
  </w:style>
  <w:style w:type="paragraph" w:customStyle="1" w:styleId="Stil1">
    <w:name w:val="Stil1"/>
    <w:basedOn w:val="Overskrift2"/>
    <w:rsid w:val="00B93EF6"/>
  </w:style>
  <w:style w:type="paragraph" w:styleId="Bobletekst">
    <w:name w:val="Balloon Text"/>
    <w:basedOn w:val="Normal"/>
    <w:link w:val="BobletekstTegn"/>
    <w:rsid w:val="00E55737"/>
    <w:rPr>
      <w:rFonts w:ascii="Tahoma" w:hAnsi="Tahoma" w:cs="Tahoma"/>
      <w:sz w:val="16"/>
      <w:szCs w:val="16"/>
    </w:rPr>
  </w:style>
  <w:style w:type="character" w:customStyle="1" w:styleId="BobletekstTegn">
    <w:name w:val="Bobletekst Tegn"/>
    <w:basedOn w:val="Standardskriftforavsnitt"/>
    <w:link w:val="Bobletekst"/>
    <w:rsid w:val="00E55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09E"/>
    <w:rPr>
      <w:rFonts w:asciiTheme="minorHAnsi" w:hAnsiTheme="minorHAnsi"/>
      <w:sz w:val="22"/>
    </w:rPr>
  </w:style>
  <w:style w:type="paragraph" w:styleId="Overskrift1">
    <w:name w:val="heading 1"/>
    <w:basedOn w:val="Normal"/>
    <w:next w:val="Normal"/>
    <w:qFormat/>
    <w:rsid w:val="000A3E4F"/>
    <w:pPr>
      <w:keepNext/>
      <w:outlineLvl w:val="0"/>
    </w:pPr>
    <w:rPr>
      <w:b/>
      <w:sz w:val="28"/>
    </w:rPr>
  </w:style>
  <w:style w:type="paragraph" w:styleId="Overskrift2">
    <w:name w:val="heading 2"/>
    <w:basedOn w:val="Normal"/>
    <w:next w:val="Normal"/>
    <w:autoRedefine/>
    <w:qFormat/>
    <w:rsid w:val="003654E0"/>
    <w:pPr>
      <w:keepNext/>
      <w:spacing w:before="120" w:after="60"/>
      <w:outlineLvl w:val="1"/>
    </w:pPr>
    <w:rPr>
      <w:b/>
      <w:szCs w:val="28"/>
    </w:rPr>
  </w:style>
  <w:style w:type="paragraph" w:styleId="Overskrift3">
    <w:name w:val="heading 3"/>
    <w:basedOn w:val="Normal"/>
    <w:next w:val="Normal"/>
    <w:autoRedefine/>
    <w:qFormat/>
    <w:rsid w:val="00B93EF6"/>
    <w:pPr>
      <w:keepNext/>
      <w:spacing w:before="60"/>
      <w:outlineLvl w:val="2"/>
    </w:pPr>
    <w:rPr>
      <w:rFonts w:ascii="Arial" w:hAnsi="Arial"/>
      <w:b/>
      <w:szCs w:val="24"/>
    </w:rPr>
  </w:style>
  <w:style w:type="paragraph" w:styleId="Overskrift4">
    <w:name w:val="heading 4"/>
    <w:basedOn w:val="Normal"/>
    <w:next w:val="Normal"/>
    <w:qFormat/>
    <w:rsid w:val="000A3E4F"/>
    <w:pPr>
      <w:keepNext/>
      <w:outlineLvl w:val="3"/>
    </w:pPr>
    <w:rPr>
      <w:b/>
      <w:bCs/>
      <w:spacing w:val="-20"/>
      <w:sz w:val="36"/>
    </w:rPr>
  </w:style>
  <w:style w:type="paragraph" w:styleId="Overskrift5">
    <w:name w:val="heading 5"/>
    <w:basedOn w:val="Normal"/>
    <w:next w:val="Normal"/>
    <w:qFormat/>
    <w:rsid w:val="000A3E4F"/>
    <w:pPr>
      <w:keepNext/>
      <w:jc w:val="center"/>
      <w:outlineLvl w:val="4"/>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A3E4F"/>
    <w:pPr>
      <w:tabs>
        <w:tab w:val="center" w:pos="4536"/>
        <w:tab w:val="right" w:pos="9072"/>
      </w:tabs>
    </w:pPr>
  </w:style>
  <w:style w:type="paragraph" w:styleId="Bunntekst">
    <w:name w:val="footer"/>
    <w:basedOn w:val="Normal"/>
    <w:rsid w:val="000A3E4F"/>
    <w:pPr>
      <w:tabs>
        <w:tab w:val="center" w:pos="4536"/>
        <w:tab w:val="right" w:pos="9072"/>
      </w:tabs>
    </w:pPr>
  </w:style>
  <w:style w:type="character" w:styleId="Sidetall">
    <w:name w:val="page number"/>
    <w:basedOn w:val="Standardskriftforavsnitt"/>
    <w:rsid w:val="000A3E4F"/>
  </w:style>
  <w:style w:type="paragraph" w:customStyle="1" w:styleId="Referanse">
    <w:name w:val="Referanse"/>
    <w:basedOn w:val="Topptekst"/>
    <w:rsid w:val="000A3E4F"/>
    <w:pPr>
      <w:tabs>
        <w:tab w:val="left" w:pos="497"/>
      </w:tabs>
      <w:ind w:left="57"/>
    </w:pPr>
  </w:style>
  <w:style w:type="paragraph" w:customStyle="1" w:styleId="Stil1">
    <w:name w:val="Stil1"/>
    <w:basedOn w:val="Overskrift2"/>
    <w:rsid w:val="00B93EF6"/>
  </w:style>
  <w:style w:type="paragraph" w:styleId="Bobletekst">
    <w:name w:val="Balloon Text"/>
    <w:basedOn w:val="Normal"/>
    <w:link w:val="BobletekstTegn"/>
    <w:rsid w:val="00E55737"/>
    <w:rPr>
      <w:rFonts w:ascii="Tahoma" w:hAnsi="Tahoma" w:cs="Tahoma"/>
      <w:sz w:val="16"/>
      <w:szCs w:val="16"/>
    </w:rPr>
  </w:style>
  <w:style w:type="character" w:customStyle="1" w:styleId="BobletekstTegn">
    <w:name w:val="Bobletekst Tegn"/>
    <w:basedOn w:val="Standardskriftforavsnitt"/>
    <w:link w:val="Bobletekst"/>
    <w:rsid w:val="00E55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E19F2B58</Template>
  <TotalTime>2</TotalTime>
  <Pages>4</Pages>
  <Words>1063</Words>
  <Characters>6530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lpstr>
    </vt:vector>
  </TitlesOfParts>
  <Company>Telenor Allianse AS</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Aarnes</dc:creator>
  <cp:lastModifiedBy>Pål Malmo</cp:lastModifiedBy>
  <cp:revision>3</cp:revision>
  <cp:lastPrinted>2015-11-12T13:30:00Z</cp:lastPrinted>
  <dcterms:created xsi:type="dcterms:W3CDTF">2015-11-18T10:36:00Z</dcterms:created>
  <dcterms:modified xsi:type="dcterms:W3CDTF">2015-11-20T07:39:00Z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\\invest.kommune.no\steinkjer\home\astsjo1\ephorte\392983_DOCX.XML</vt:lpwstr>
  </property>
  <property fmtid="{D5CDD505-2E9C-101B-9397-08002B2CF9AE}" pid="3" name="SaksFremStilling">
    <vt:lpwstr>\\invest.kommune.no\steinkjer\home\astsjo1\ephorte\SF_392983_DOCX.XML</vt:lpwstr>
  </property>
  <property fmtid="{D5CDD505-2E9C-101B-9397-08002B2CF9AE}" pid="4" name="CheckInType">
    <vt:lpwstr>FromApplication</vt:lpwstr>
  </property>
  <property fmtid="{D5CDD505-2E9C-101B-9397-08002B2CF9AE}" pid="5" name="CheckInDocForm">
    <vt:lpwstr>http://INV-I-ephorteWeb01/ephorte-sk/shared/aspx/Default/CheckInDocForm.aspx</vt:lpwstr>
  </property>
  <property fmtid="{D5CDD505-2E9C-101B-9397-08002B2CF9AE}" pid="6" name="DokType">
    <vt:lpwstr>X</vt:lpwstr>
  </property>
  <property fmtid="{D5CDD505-2E9C-101B-9397-08002B2CF9AE}" pid="7" name="DokID">
    <vt:i4>395465</vt:i4>
  </property>
  <property fmtid="{D5CDD505-2E9C-101B-9397-08002B2CF9AE}" pid="8" name="Versjon">
    <vt:i4>1</vt:i4>
  </property>
  <property fmtid="{D5CDD505-2E9C-101B-9397-08002B2CF9AE}" pid="9" name="Variant">
    <vt:lpwstr>P</vt:lpwstr>
  </property>
  <property fmtid="{D5CDD505-2E9C-101B-9397-08002B2CF9AE}" pid="10" name="OpenMode">
    <vt:lpwstr>EditDoc</vt:lpwstr>
  </property>
  <property fmtid="{D5CDD505-2E9C-101B-9397-08002B2CF9AE}" pid="11" name="CurrentUrl">
    <vt:lpwstr>http%3a%2f%2finv-i-ephorteweb01%2fephorte-sk%2fshared%2faspx%2fdefault%2fdetails.aspx%3ff%3dViewJP%2520(UB)_ToCurrent%26JP_ID%3d272863</vt:lpwstr>
  </property>
  <property fmtid="{D5CDD505-2E9C-101B-9397-08002B2CF9AE}" pid="12" name="WindowName">
    <vt:lpwstr>rbottom</vt:lpwstr>
  </property>
  <property fmtid="{D5CDD505-2E9C-101B-9397-08002B2CF9AE}" pid="13" name="FileName">
    <vt:lpwstr>%5c%5cinvest.kommune.no%5csteinkjer%5chome%5castsjo1%5cephorte%5c395441.DOCX</vt:lpwstr>
  </property>
  <property fmtid="{D5CDD505-2E9C-101B-9397-08002B2CF9AE}" pid="14" name="LinkId">
    <vt:i4>274580</vt:i4>
  </property>
</Properties>
</file>